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B3110" w14:textId="77777777" w:rsidR="00427E00" w:rsidRPr="000B1F79" w:rsidRDefault="00427E00" w:rsidP="000B1F79">
      <w:pPr>
        <w:pStyle w:val="StyleZakonu"/>
        <w:spacing w:after="0" w:line="240" w:lineRule="auto"/>
        <w:ind w:firstLine="720"/>
        <w:jc w:val="right"/>
        <w:rPr>
          <w:sz w:val="28"/>
          <w:lang w:val="ru-RU"/>
        </w:rPr>
      </w:pPr>
      <w:r w:rsidRPr="000B1F79">
        <w:rPr>
          <w:sz w:val="28"/>
          <w:lang w:val="ru-RU"/>
        </w:rPr>
        <w:t>Проект</w:t>
      </w:r>
    </w:p>
    <w:p w14:paraId="03A61EA3" w14:textId="77777777" w:rsidR="00427E00" w:rsidRDefault="00427E00" w:rsidP="000B1F79">
      <w:pPr>
        <w:pStyle w:val="StyleZakonu"/>
        <w:spacing w:after="0" w:line="240" w:lineRule="auto"/>
        <w:ind w:firstLine="720"/>
        <w:jc w:val="right"/>
        <w:rPr>
          <w:sz w:val="28"/>
          <w:lang w:val="ru-RU"/>
        </w:rPr>
      </w:pPr>
      <w:r w:rsidRPr="000B1F79">
        <w:rPr>
          <w:sz w:val="28"/>
          <w:lang w:val="ru-RU"/>
        </w:rPr>
        <w:t xml:space="preserve">(тираж </w:t>
      </w:r>
      <w:r w:rsidR="000B1F79" w:rsidRPr="000B1F79">
        <w:rPr>
          <w:sz w:val="28"/>
          <w:lang w:val="ru-RU"/>
        </w:rPr>
        <w:t>16.06.2020</w:t>
      </w:r>
      <w:r w:rsidRPr="000B1F79">
        <w:rPr>
          <w:sz w:val="28"/>
          <w:lang w:val="ru-RU"/>
        </w:rPr>
        <w:t>)</w:t>
      </w:r>
    </w:p>
    <w:p w14:paraId="16F21561" w14:textId="77777777" w:rsidR="000B1F79" w:rsidRPr="00427E00" w:rsidRDefault="000B1F79" w:rsidP="000B1F79">
      <w:pPr>
        <w:pStyle w:val="StyleZakonu"/>
        <w:spacing w:after="0" w:line="240" w:lineRule="auto"/>
        <w:ind w:firstLine="720"/>
        <w:jc w:val="right"/>
        <w:rPr>
          <w:b/>
          <w:sz w:val="28"/>
          <w:lang w:val="ru-RU"/>
        </w:rPr>
      </w:pPr>
    </w:p>
    <w:p w14:paraId="602AECA0" w14:textId="77777777" w:rsidR="00427E00" w:rsidRPr="00427E00" w:rsidRDefault="00427E00" w:rsidP="000B1F79">
      <w:pPr>
        <w:pStyle w:val="StyleZakonu"/>
        <w:spacing w:after="0" w:line="240" w:lineRule="auto"/>
        <w:ind w:firstLine="720"/>
        <w:jc w:val="center"/>
        <w:rPr>
          <w:b/>
          <w:sz w:val="28"/>
        </w:rPr>
      </w:pPr>
      <w:r w:rsidRPr="00427E00">
        <w:rPr>
          <w:b/>
          <w:sz w:val="28"/>
        </w:rPr>
        <w:t>ЗАКОН УКРАЇНИ</w:t>
      </w:r>
    </w:p>
    <w:p w14:paraId="69C48D6A" w14:textId="77777777" w:rsidR="00427E00" w:rsidRDefault="00427E00" w:rsidP="000B1F79">
      <w:pPr>
        <w:pStyle w:val="StyleZakonu"/>
        <w:spacing w:after="0" w:line="240" w:lineRule="auto"/>
        <w:ind w:firstLine="720"/>
        <w:jc w:val="center"/>
        <w:rPr>
          <w:sz w:val="28"/>
        </w:rPr>
      </w:pPr>
      <w:r w:rsidRPr="00427E00">
        <w:rPr>
          <w:sz w:val="28"/>
        </w:rPr>
        <w:t>Про внесення змін до деяких законодавчих актів України у зв'язку з прийняттям Закону України «Про внесення змін до деяких законодавчих актів України щодо спрощення досудового розслідування окремих категорій кримінальних правопорушень»</w:t>
      </w:r>
    </w:p>
    <w:p w14:paraId="34720CCD" w14:textId="77777777" w:rsidR="000B1F79" w:rsidRPr="00427E00" w:rsidRDefault="000B1F79" w:rsidP="000B1F79">
      <w:pPr>
        <w:pStyle w:val="StyleZakonu"/>
        <w:spacing w:after="0" w:line="240" w:lineRule="auto"/>
        <w:ind w:firstLine="720"/>
        <w:jc w:val="center"/>
        <w:rPr>
          <w:rStyle w:val="rvts9"/>
          <w:bCs/>
          <w:sz w:val="28"/>
          <w:szCs w:val="28"/>
        </w:rPr>
      </w:pPr>
    </w:p>
    <w:p w14:paraId="1661E087"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Верховна Рада України п о с т а н о в л я є :</w:t>
      </w:r>
    </w:p>
    <w:p w14:paraId="43EF5C88"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I. Внести зміни до таких законодавчих актів України:</w:t>
      </w:r>
    </w:p>
    <w:p w14:paraId="155BBDDB" w14:textId="77777777" w:rsidR="00427E00" w:rsidRPr="00552CFC" w:rsidRDefault="00427E00" w:rsidP="00427E00">
      <w:pPr>
        <w:pStyle w:val="StyleZakonu"/>
        <w:spacing w:after="0" w:line="240" w:lineRule="auto"/>
        <w:ind w:firstLine="720"/>
        <w:rPr>
          <w:b/>
          <w:bCs/>
          <w:color w:val="FF0000"/>
          <w:sz w:val="28"/>
          <w:lang w:eastAsia="uk-UA"/>
        </w:rPr>
      </w:pPr>
      <w:r w:rsidRPr="00552CFC">
        <w:rPr>
          <w:b/>
          <w:bCs/>
          <w:color w:val="FF0000"/>
          <w:sz w:val="28"/>
          <w:lang w:eastAsia="uk-UA"/>
        </w:rPr>
        <w:t>2. У Кримінальному кодексі України (Відомості Верховної Ради України, 2001 р., № 25—26, ст. 131):</w:t>
      </w:r>
    </w:p>
    <w:p w14:paraId="34DFB23E" w14:textId="7A8B9085" w:rsidR="00427E00" w:rsidRPr="00427E00" w:rsidRDefault="00427E00" w:rsidP="00427E00">
      <w:pPr>
        <w:pStyle w:val="StyleZakonu"/>
        <w:spacing w:after="0" w:line="240" w:lineRule="auto"/>
        <w:ind w:firstLine="720"/>
        <w:rPr>
          <w:sz w:val="28"/>
          <w:lang w:eastAsia="uk-UA"/>
        </w:rPr>
      </w:pPr>
      <w:r w:rsidRPr="00427E00">
        <w:rPr>
          <w:sz w:val="28"/>
          <w:lang w:eastAsia="uk-UA"/>
        </w:rPr>
        <w:t>7) абзац перший частини першої статті 384, назву та абзац перший частини першої статті 386 після слова «</w:t>
      </w:r>
      <w:r w:rsidRPr="00237858">
        <w:rPr>
          <w:sz w:val="28"/>
          <w:highlight w:val="yellow"/>
          <w:lang w:eastAsia="uk-UA"/>
        </w:rPr>
        <w:t>експерт</w:t>
      </w:r>
      <w:r w:rsidRPr="00427E00">
        <w:rPr>
          <w:sz w:val="28"/>
          <w:lang w:eastAsia="uk-UA"/>
        </w:rPr>
        <w:t>а» доповнити словом «спеціаліста»;</w:t>
      </w:r>
    </w:p>
    <w:p w14:paraId="6EC842E6" w14:textId="77777777" w:rsidR="00427E00" w:rsidRPr="00552CFC" w:rsidRDefault="00427E00" w:rsidP="00427E00">
      <w:pPr>
        <w:pStyle w:val="StyleZakonu"/>
        <w:spacing w:after="0" w:line="240" w:lineRule="auto"/>
        <w:ind w:firstLine="720"/>
        <w:rPr>
          <w:b/>
          <w:bCs/>
          <w:color w:val="FF0000"/>
          <w:sz w:val="28"/>
          <w:lang w:eastAsia="uk-UA"/>
        </w:rPr>
      </w:pPr>
      <w:r w:rsidRPr="00552CFC">
        <w:rPr>
          <w:b/>
          <w:bCs/>
          <w:color w:val="FF0000"/>
          <w:sz w:val="28"/>
          <w:lang w:eastAsia="uk-UA"/>
        </w:rPr>
        <w:t>8. У Кримінальному процесуальному кодексі України (Відомості Верховної Ради України, 2013 р., №№ 9—13, ст. 88):</w:t>
      </w:r>
    </w:p>
    <w:p w14:paraId="19BE33C7"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5) у статті 71:</w:t>
      </w:r>
    </w:p>
    <w:p w14:paraId="30D50B1F"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частину першу викласти в такій редакції:</w:t>
      </w:r>
    </w:p>
    <w:p w14:paraId="78187615"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«1. Спеціалістом у кримінальному провадженні є особа, яка володіє спеціальними знаннями та навичками і може надавати консультації та висновки під час досудового розслідування і судового розгляду з питань, що потребують відповідних спеціальних знань і навичок»;</w:t>
      </w:r>
    </w:p>
    <w:p w14:paraId="5D76EAF4"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частину четверту доповнити пунктом 3</w:t>
      </w:r>
      <w:r w:rsidRPr="00427E00">
        <w:rPr>
          <w:sz w:val="28"/>
          <w:vertAlign w:val="superscript"/>
          <w:lang w:eastAsia="uk-UA"/>
        </w:rPr>
        <w:t>1</w:t>
      </w:r>
      <w:r w:rsidRPr="00427E00">
        <w:rPr>
          <w:sz w:val="28"/>
          <w:lang w:eastAsia="uk-UA"/>
        </w:rPr>
        <w:t xml:space="preserve"> такого змісту:</w:t>
      </w:r>
    </w:p>
    <w:p w14:paraId="36207F10"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«3</w:t>
      </w:r>
      <w:r w:rsidRPr="00427E00">
        <w:rPr>
          <w:sz w:val="28"/>
          <w:vertAlign w:val="superscript"/>
          <w:lang w:eastAsia="uk-UA"/>
        </w:rPr>
        <w:t>1</w:t>
      </w:r>
      <w:r w:rsidRPr="00427E00">
        <w:rPr>
          <w:sz w:val="28"/>
          <w:lang w:eastAsia="uk-UA"/>
        </w:rPr>
        <w:t>) викладати у висновку відомості, що мають значення для кримінального провадження і щодо яких йому не були поставлені запитання»;</w:t>
      </w:r>
    </w:p>
    <w:p w14:paraId="17B75C49"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6) статтю 72 доповнити частиною другою такого змісту:</w:t>
      </w:r>
    </w:p>
    <w:p w14:paraId="705C1D54"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«2. За завідомо неправдивий висновок спеціаліст несе відповідальність, встановлену законом»;</w:t>
      </w:r>
    </w:p>
    <w:p w14:paraId="62B587AC" w14:textId="77777777" w:rsidR="00427E00" w:rsidRPr="00427E00" w:rsidRDefault="00427E00" w:rsidP="00427E00">
      <w:pPr>
        <w:pStyle w:val="StyleProp2"/>
        <w:spacing w:after="0" w:line="240" w:lineRule="auto"/>
        <w:ind w:firstLine="720"/>
        <w:rPr>
          <w:sz w:val="28"/>
          <w:lang w:eastAsia="uk-UA"/>
        </w:rPr>
      </w:pPr>
      <w:r w:rsidRPr="00427E00">
        <w:rPr>
          <w:sz w:val="28"/>
          <w:lang w:eastAsia="uk-UA"/>
        </w:rPr>
        <w:t xml:space="preserve">9) друге речення частини другої статті 122 викласти в такій редакції: </w:t>
      </w:r>
      <w:r w:rsidRPr="00237858">
        <w:rPr>
          <w:b/>
          <w:bCs/>
          <w:i/>
          <w:iCs/>
          <w:sz w:val="28"/>
          <w:lang w:eastAsia="uk-UA"/>
        </w:rPr>
        <w:t>«</w:t>
      </w:r>
      <w:r w:rsidRPr="00237858">
        <w:rPr>
          <w:b/>
          <w:bCs/>
          <w:i/>
          <w:iCs/>
          <w:color w:val="000000"/>
          <w:sz w:val="28"/>
          <w:shd w:val="clear" w:color="auto" w:fill="FFFFFF"/>
        </w:rPr>
        <w:t xml:space="preserve">Залучення стороною обвинувачення спеціалістів, </w:t>
      </w:r>
      <w:r w:rsidRPr="00237858">
        <w:rPr>
          <w:b/>
          <w:bCs/>
          <w:i/>
          <w:iCs/>
          <w:color w:val="000000"/>
          <w:sz w:val="28"/>
          <w:highlight w:val="yellow"/>
          <w:shd w:val="clear" w:color="auto" w:fill="FFFFFF"/>
        </w:rPr>
        <w:t>експерт</w:t>
      </w:r>
      <w:r w:rsidRPr="00237858">
        <w:rPr>
          <w:b/>
          <w:bCs/>
          <w:i/>
          <w:iCs/>
          <w:color w:val="000000"/>
          <w:sz w:val="28"/>
          <w:shd w:val="clear" w:color="auto" w:fill="FFFFFF"/>
        </w:rPr>
        <w:t>ів спеціалізованих державних установ, проведення експертизи (обстежень і досліджень) за дорученням слідчого судді або суду здійснюються за рахунок коштів, що за цільовим призначенням виділяються таким установам із Державного бюджету України</w:t>
      </w:r>
      <w:r w:rsidRPr="00237858">
        <w:rPr>
          <w:b/>
          <w:bCs/>
          <w:i/>
          <w:iCs/>
          <w:sz w:val="28"/>
          <w:lang w:eastAsia="uk-UA"/>
        </w:rPr>
        <w:t>»;</w:t>
      </w:r>
    </w:p>
    <w:p w14:paraId="645F637E" w14:textId="77777777" w:rsidR="00427E00" w:rsidRPr="00552CFC" w:rsidRDefault="00427E00" w:rsidP="00427E00">
      <w:pPr>
        <w:pStyle w:val="StyleZakonu"/>
        <w:spacing w:after="0" w:line="240" w:lineRule="auto"/>
        <w:ind w:firstLine="720"/>
        <w:rPr>
          <w:b/>
          <w:bCs/>
          <w:color w:val="FF0000"/>
          <w:sz w:val="28"/>
        </w:rPr>
      </w:pPr>
      <w:r w:rsidRPr="00552CFC">
        <w:rPr>
          <w:b/>
          <w:bCs/>
          <w:color w:val="FF0000"/>
          <w:sz w:val="28"/>
        </w:rPr>
        <w:t>29. У Законі України «Про судову експертизу» (Відомості Верховної Ради України, 1994 р., № 28, ст. 232):</w:t>
      </w:r>
    </w:p>
    <w:p w14:paraId="3A78BB9B" w14:textId="77777777" w:rsidR="00427E00" w:rsidRPr="00427E00" w:rsidRDefault="00427E00" w:rsidP="00427E00">
      <w:pPr>
        <w:pStyle w:val="StyleZakonu"/>
        <w:spacing w:after="0" w:line="240" w:lineRule="auto"/>
        <w:ind w:firstLine="720"/>
        <w:rPr>
          <w:sz w:val="28"/>
        </w:rPr>
      </w:pPr>
      <w:r w:rsidRPr="00427E00">
        <w:rPr>
          <w:sz w:val="28"/>
        </w:rPr>
        <w:t>1) статтю 5 після слова «експертиз» доповнити словами «(обстежень і досліджень)»;</w:t>
      </w:r>
    </w:p>
    <w:p w14:paraId="44C20A31" w14:textId="77777777" w:rsidR="00427E00" w:rsidRPr="00427E00" w:rsidRDefault="00427E00" w:rsidP="00427E00">
      <w:pPr>
        <w:pStyle w:val="StyleZakonu"/>
        <w:spacing w:after="0" w:line="240" w:lineRule="auto"/>
        <w:ind w:firstLine="720"/>
        <w:rPr>
          <w:sz w:val="28"/>
        </w:rPr>
      </w:pPr>
      <w:r w:rsidRPr="00427E00">
        <w:rPr>
          <w:sz w:val="28"/>
        </w:rPr>
        <w:t>2) частину першу статті 7 після слів «спеціалізовані установи» доповнити словами «їх територіальні філії, експертні установи комунальної форми власності»;</w:t>
      </w:r>
    </w:p>
    <w:p w14:paraId="630DCE51" w14:textId="77777777" w:rsidR="00427E00" w:rsidRPr="00427E00" w:rsidRDefault="00427E00" w:rsidP="00427E00">
      <w:pPr>
        <w:pStyle w:val="StyleZakonu"/>
        <w:spacing w:after="0" w:line="240" w:lineRule="auto"/>
        <w:ind w:firstLine="720"/>
        <w:rPr>
          <w:sz w:val="28"/>
        </w:rPr>
      </w:pPr>
      <w:r w:rsidRPr="00427E00">
        <w:rPr>
          <w:sz w:val="28"/>
        </w:rPr>
        <w:lastRenderedPageBreak/>
        <w:t>3) у статті 7</w:t>
      </w:r>
      <w:r w:rsidRPr="00427E00">
        <w:rPr>
          <w:sz w:val="28"/>
          <w:vertAlign w:val="superscript"/>
        </w:rPr>
        <w:t>1</w:t>
      </w:r>
      <w:r w:rsidRPr="00427E00">
        <w:rPr>
          <w:sz w:val="28"/>
        </w:rPr>
        <w:t>:</w:t>
      </w:r>
    </w:p>
    <w:p w14:paraId="23B0F56F" w14:textId="77777777" w:rsidR="00427E00" w:rsidRPr="00427E00" w:rsidRDefault="00427E00" w:rsidP="00427E00">
      <w:pPr>
        <w:pStyle w:val="StyleZakonu"/>
        <w:spacing w:after="0" w:line="240" w:lineRule="auto"/>
        <w:ind w:firstLine="720"/>
        <w:rPr>
          <w:sz w:val="28"/>
        </w:rPr>
      </w:pPr>
      <w:r w:rsidRPr="00427E00">
        <w:rPr>
          <w:sz w:val="28"/>
        </w:rPr>
        <w:t>назву доповнити словами «(обстеження і дослідження)»;</w:t>
      </w:r>
    </w:p>
    <w:p w14:paraId="56C46E67" w14:textId="77777777" w:rsidR="00427E00" w:rsidRPr="00427E00" w:rsidRDefault="00427E00" w:rsidP="00427E00">
      <w:pPr>
        <w:pStyle w:val="StyleZakonu"/>
        <w:spacing w:after="0" w:line="240" w:lineRule="auto"/>
        <w:ind w:firstLine="720"/>
        <w:rPr>
          <w:sz w:val="28"/>
        </w:rPr>
      </w:pPr>
      <w:r w:rsidRPr="00427E00">
        <w:rPr>
          <w:sz w:val="28"/>
        </w:rPr>
        <w:t>доповнити частиною другою такого змісту:</w:t>
      </w:r>
    </w:p>
    <w:p w14:paraId="48CC3F68" w14:textId="77777777" w:rsidR="00427E00" w:rsidRPr="00427E00" w:rsidRDefault="00427E00" w:rsidP="00427E00">
      <w:pPr>
        <w:pStyle w:val="StyleZakonu"/>
        <w:spacing w:after="0" w:line="240" w:lineRule="auto"/>
        <w:ind w:firstLine="720"/>
        <w:rPr>
          <w:sz w:val="28"/>
          <w:lang w:eastAsia="uk-UA"/>
        </w:rPr>
      </w:pPr>
      <w:r w:rsidRPr="00427E00">
        <w:rPr>
          <w:sz w:val="28"/>
          <w:lang w:eastAsia="uk-UA"/>
        </w:rPr>
        <w:t>«Підставою для отримання висновку спеціаліста при з’ясуванні обставин вчинення кримінального проступку є запит службової особи підрозділу дізнання органу Національної поліції, органу безпеки, органу, що здійснює контроль за додержанням податкового законодавства, органу Державного бюро розслідувань, Національного антикорупційного бюро України, уповноваженої особи іншого підрозділу зазначених органів, які уповноважені здійснювати досудове розслідування кримінальних проступків»;</w:t>
      </w:r>
    </w:p>
    <w:p w14:paraId="5EA95863" w14:textId="77777777" w:rsidR="00427E00" w:rsidRPr="00427E00" w:rsidRDefault="00427E00" w:rsidP="00427E00">
      <w:pPr>
        <w:pStyle w:val="StyleZakonu"/>
        <w:spacing w:after="0" w:line="240" w:lineRule="auto"/>
        <w:ind w:firstLine="720"/>
        <w:rPr>
          <w:b/>
          <w:sz w:val="28"/>
        </w:rPr>
      </w:pPr>
      <w:r w:rsidRPr="00427E00">
        <w:rPr>
          <w:sz w:val="28"/>
        </w:rPr>
        <w:t>4) частину третю статті 10 після слова «експертиз» доповнити словами «(обстежень і досліджень)»;</w:t>
      </w:r>
    </w:p>
    <w:p w14:paraId="21B0C57A" w14:textId="77777777" w:rsidR="00427E00" w:rsidRPr="00427E00" w:rsidRDefault="00427E00" w:rsidP="00427E00">
      <w:pPr>
        <w:pStyle w:val="StyleZakonu"/>
        <w:spacing w:after="0" w:line="240" w:lineRule="auto"/>
        <w:ind w:firstLine="720"/>
        <w:rPr>
          <w:sz w:val="28"/>
        </w:rPr>
      </w:pPr>
      <w:r w:rsidRPr="00427E00">
        <w:rPr>
          <w:sz w:val="28"/>
        </w:rPr>
        <w:t>5) частину другу статті 15 після слова «слідчого» доповнити словом «дізнавача».</w:t>
      </w:r>
    </w:p>
    <w:p w14:paraId="435B210A" w14:textId="77777777" w:rsidR="00427E00" w:rsidRPr="00552CFC" w:rsidRDefault="00427E00" w:rsidP="00427E00">
      <w:pPr>
        <w:pStyle w:val="StyleZakonu"/>
        <w:spacing w:after="0" w:line="240" w:lineRule="auto"/>
        <w:ind w:firstLine="720"/>
        <w:rPr>
          <w:b/>
          <w:bCs/>
          <w:color w:val="FF0000"/>
          <w:sz w:val="28"/>
          <w:lang w:eastAsia="uk-UA"/>
        </w:rPr>
      </w:pPr>
      <w:r w:rsidRPr="00552CFC">
        <w:rPr>
          <w:b/>
          <w:bCs/>
          <w:color w:val="FF0000"/>
          <w:sz w:val="28"/>
          <w:lang w:eastAsia="uk-UA"/>
        </w:rPr>
        <w:t>117. У розділі І Закону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(Відомості Верховної Ради України, 2019 р., № 17, ст. 71):</w:t>
      </w:r>
    </w:p>
    <w:p w14:paraId="4E571246" w14:textId="77777777" w:rsidR="00427E00" w:rsidRPr="00427E00" w:rsidRDefault="00427E00" w:rsidP="00427E00">
      <w:pPr>
        <w:pStyle w:val="StyleZakonu"/>
        <w:spacing w:after="0" w:line="240" w:lineRule="auto"/>
        <w:ind w:firstLine="720"/>
        <w:rPr>
          <w:sz w:val="28"/>
        </w:rPr>
      </w:pPr>
      <w:r w:rsidRPr="00427E00">
        <w:rPr>
          <w:sz w:val="28"/>
        </w:rPr>
        <w:t>3) у пункті 3:</w:t>
      </w:r>
    </w:p>
    <w:p w14:paraId="43E9FEFD" w14:textId="77777777" w:rsidR="00427E00" w:rsidRPr="00427E00" w:rsidRDefault="00427E00" w:rsidP="00427E00">
      <w:pPr>
        <w:pStyle w:val="StyleZakonu"/>
        <w:spacing w:after="0" w:line="240" w:lineRule="auto"/>
        <w:ind w:firstLine="720"/>
        <w:rPr>
          <w:sz w:val="28"/>
        </w:rPr>
      </w:pPr>
      <w:r w:rsidRPr="00427E00">
        <w:rPr>
          <w:sz w:val="28"/>
        </w:rPr>
        <w:t>у підпункті 3:</w:t>
      </w:r>
    </w:p>
    <w:p w14:paraId="3C609C58" w14:textId="77777777" w:rsidR="00427E00" w:rsidRPr="00427E00" w:rsidRDefault="00427E00" w:rsidP="00427E00">
      <w:pPr>
        <w:pStyle w:val="StyleZakonu"/>
        <w:spacing w:after="0" w:line="240" w:lineRule="auto"/>
        <w:ind w:firstLine="720"/>
        <w:rPr>
          <w:sz w:val="28"/>
        </w:rPr>
      </w:pPr>
      <w:r w:rsidRPr="00427E00">
        <w:rPr>
          <w:sz w:val="28"/>
        </w:rPr>
        <w:t>доповнити абзацом десятим такого змісту:</w:t>
      </w:r>
    </w:p>
    <w:p w14:paraId="615AB55B" w14:textId="77777777" w:rsidR="00427E00" w:rsidRPr="00427E00" w:rsidRDefault="00427E00" w:rsidP="00427E00">
      <w:pPr>
        <w:pStyle w:val="StyleZakonu"/>
        <w:spacing w:after="0" w:line="240" w:lineRule="auto"/>
        <w:ind w:firstLine="720"/>
        <w:rPr>
          <w:sz w:val="28"/>
        </w:rPr>
      </w:pPr>
      <w:r w:rsidRPr="00427E00">
        <w:rPr>
          <w:sz w:val="28"/>
        </w:rPr>
        <w:t>«6) здійснювати інші повноваження, передбачені цим Кодексом»;</w:t>
      </w:r>
    </w:p>
    <w:p w14:paraId="6FEC58A5" w14:textId="77777777" w:rsidR="00427E00" w:rsidRPr="00427E00" w:rsidRDefault="00427E00" w:rsidP="00427E00">
      <w:pPr>
        <w:pStyle w:val="StyleZakonu"/>
        <w:spacing w:after="0" w:line="240" w:lineRule="auto"/>
        <w:ind w:firstLine="720"/>
        <w:rPr>
          <w:sz w:val="28"/>
        </w:rPr>
      </w:pPr>
      <w:r w:rsidRPr="00427E00">
        <w:rPr>
          <w:sz w:val="28"/>
        </w:rPr>
        <w:t>абзац дев’ятий підпункту 17 після слів «отримано висновок спеціаліста і» доповнити словами «за згодою»;</w:t>
      </w:r>
    </w:p>
    <w:p w14:paraId="796D2217" w14:textId="77777777" w:rsidR="00427E00" w:rsidRPr="00427E00" w:rsidRDefault="00427E00" w:rsidP="00427E00">
      <w:pPr>
        <w:pStyle w:val="StyleZakonu"/>
        <w:spacing w:after="0" w:line="240" w:lineRule="auto"/>
        <w:ind w:firstLine="720"/>
        <w:rPr>
          <w:sz w:val="28"/>
        </w:rPr>
      </w:pPr>
      <w:r w:rsidRPr="00427E00">
        <w:rPr>
          <w:sz w:val="28"/>
        </w:rPr>
        <w:t>підпункт 27 викласти в такій редакції:</w:t>
      </w:r>
    </w:p>
    <w:p w14:paraId="6AC1C8CF" w14:textId="77777777" w:rsidR="00427E00" w:rsidRPr="00427E00" w:rsidRDefault="00427E00" w:rsidP="00427E00">
      <w:pPr>
        <w:pStyle w:val="StyleZakonu"/>
        <w:spacing w:after="0" w:line="240" w:lineRule="auto"/>
        <w:ind w:firstLine="720"/>
        <w:rPr>
          <w:color w:val="000000"/>
          <w:sz w:val="28"/>
          <w:shd w:val="clear" w:color="auto" w:fill="FFFFFF"/>
        </w:rPr>
      </w:pPr>
      <w:r w:rsidRPr="00427E00">
        <w:rPr>
          <w:color w:val="000000"/>
          <w:sz w:val="28"/>
          <w:shd w:val="clear" w:color="auto" w:fill="FFFFFF"/>
        </w:rPr>
        <w:t>«27) доповнити статтями 298</w:t>
      </w:r>
      <w:r w:rsidRPr="00427E00">
        <w:rPr>
          <w:rStyle w:val="rvts37"/>
          <w:b/>
          <w:bCs/>
          <w:color w:val="000000"/>
          <w:sz w:val="28"/>
          <w:szCs w:val="2"/>
          <w:shd w:val="clear" w:color="auto" w:fill="FFFFFF"/>
          <w:vertAlign w:val="superscript"/>
        </w:rPr>
        <w:t>-</w:t>
      </w:r>
      <w:r w:rsidRPr="00427E00">
        <w:rPr>
          <w:rStyle w:val="rvts37"/>
          <w:b/>
          <w:bCs/>
          <w:color w:val="000000"/>
          <w:sz w:val="28"/>
          <w:szCs w:val="16"/>
          <w:shd w:val="clear" w:color="auto" w:fill="FFFFFF"/>
          <w:vertAlign w:val="superscript"/>
        </w:rPr>
        <w:t>1</w:t>
      </w:r>
      <w:r w:rsidRPr="00427E00">
        <w:rPr>
          <w:color w:val="000000"/>
          <w:sz w:val="28"/>
          <w:shd w:val="clear" w:color="auto" w:fill="FFFFFF"/>
        </w:rPr>
        <w:t>-298</w:t>
      </w:r>
      <w:r w:rsidRPr="00427E00">
        <w:rPr>
          <w:rStyle w:val="rvts37"/>
          <w:b/>
          <w:bCs/>
          <w:color w:val="000000"/>
          <w:sz w:val="28"/>
          <w:szCs w:val="2"/>
          <w:shd w:val="clear" w:color="auto" w:fill="FFFFFF"/>
          <w:vertAlign w:val="superscript"/>
        </w:rPr>
        <w:t>-</w:t>
      </w:r>
      <w:r w:rsidRPr="00427E00">
        <w:rPr>
          <w:rStyle w:val="rvts37"/>
          <w:b/>
          <w:bCs/>
          <w:color w:val="000000"/>
          <w:sz w:val="28"/>
          <w:szCs w:val="16"/>
          <w:shd w:val="clear" w:color="auto" w:fill="FFFFFF"/>
          <w:vertAlign w:val="superscript"/>
        </w:rPr>
        <w:t>5</w:t>
      </w:r>
      <w:r w:rsidRPr="00427E00">
        <w:rPr>
          <w:color w:val="000000"/>
          <w:sz w:val="28"/>
          <w:shd w:val="clear" w:color="auto" w:fill="FFFFFF"/>
        </w:rPr>
        <w:t xml:space="preserve"> такого змісту:</w:t>
      </w:r>
    </w:p>
    <w:p w14:paraId="2741A22A" w14:textId="77777777" w:rsidR="00427E00" w:rsidRPr="00427E00" w:rsidRDefault="00427E00" w:rsidP="00427E00">
      <w:pPr>
        <w:pStyle w:val="StyleZakonu"/>
        <w:spacing w:after="0" w:line="240" w:lineRule="auto"/>
        <w:ind w:firstLine="720"/>
        <w:rPr>
          <w:sz w:val="28"/>
        </w:rPr>
      </w:pPr>
      <w:r w:rsidRPr="00427E00">
        <w:rPr>
          <w:color w:val="000000"/>
          <w:sz w:val="28"/>
          <w:shd w:val="clear" w:color="auto" w:fill="FFFFFF"/>
        </w:rPr>
        <w:t>"</w:t>
      </w:r>
      <w:r w:rsidRPr="00427E00">
        <w:rPr>
          <w:sz w:val="28"/>
        </w:rPr>
        <w:t>Стаття 298</w:t>
      </w:r>
      <w:r w:rsidRPr="00427E00">
        <w:rPr>
          <w:sz w:val="28"/>
          <w:vertAlign w:val="superscript"/>
        </w:rPr>
        <w:t>1</w:t>
      </w:r>
      <w:r w:rsidRPr="00427E00">
        <w:rPr>
          <w:sz w:val="28"/>
        </w:rPr>
        <w:t>. Процесуальні джерела доказів у кримінальних провадженнях про кримінальні проступки</w:t>
      </w:r>
    </w:p>
    <w:p w14:paraId="1BF6ED7E" w14:textId="77777777" w:rsidR="00427E00" w:rsidRPr="00427E00" w:rsidRDefault="00427E00" w:rsidP="00427E00">
      <w:pPr>
        <w:pStyle w:val="StyleZakonu"/>
        <w:spacing w:after="0" w:line="240" w:lineRule="auto"/>
        <w:ind w:firstLine="720"/>
        <w:rPr>
          <w:sz w:val="28"/>
        </w:rPr>
      </w:pPr>
      <w:r w:rsidRPr="00427E00">
        <w:rPr>
          <w:sz w:val="28"/>
        </w:rPr>
        <w:t xml:space="preserve">1. Процесуальними джерелами доказів у кримінальному провадженні про кримінальні проступки, крім визначених статтею 84 цього Кодексу, також є пояснення осіб, результати медичного освідування, </w:t>
      </w:r>
      <w:r w:rsidRPr="00262C0A">
        <w:rPr>
          <w:b/>
          <w:bCs/>
          <w:sz w:val="28"/>
        </w:rPr>
        <w:t>висновок спеціаліста</w:t>
      </w:r>
      <w:r w:rsidRPr="00427E00">
        <w:rPr>
          <w:sz w:val="28"/>
        </w:rPr>
        <w:t>, а також отримані за згодою показання технічних приладів і технічних засобів, що мають функції фото- і кінозйомки, відеозапису, чи засобів фото- і кінозйомки, відеозапису.</w:t>
      </w:r>
    </w:p>
    <w:p w14:paraId="6B01B225" w14:textId="77777777" w:rsidR="00427E00" w:rsidRPr="00427E00" w:rsidRDefault="00427E00" w:rsidP="00427E00">
      <w:pPr>
        <w:pStyle w:val="StyleZakonu"/>
        <w:spacing w:after="0" w:line="240" w:lineRule="auto"/>
        <w:ind w:firstLine="720"/>
        <w:rPr>
          <w:sz w:val="28"/>
        </w:rPr>
      </w:pPr>
      <w:r w:rsidRPr="00427E00">
        <w:rPr>
          <w:sz w:val="28"/>
        </w:rPr>
        <w:t>Такі процесуальні джерела доказів не можуть бути використані у кримінальному провадженні щодо злочину, окрім як на підставі ухвали слідчого судді, що постановляється за клопотанням прокурора.</w:t>
      </w:r>
    </w:p>
    <w:p w14:paraId="26185515" w14:textId="77777777" w:rsidR="00427E00" w:rsidRPr="00427E00" w:rsidRDefault="00427E00" w:rsidP="00427E00">
      <w:pPr>
        <w:pStyle w:val="StyleZakonu"/>
        <w:spacing w:after="0" w:line="240" w:lineRule="auto"/>
        <w:ind w:firstLine="720"/>
        <w:rPr>
          <w:sz w:val="28"/>
        </w:rPr>
      </w:pPr>
      <w:r w:rsidRPr="00427E00">
        <w:rPr>
          <w:sz w:val="28"/>
        </w:rPr>
        <w:t>Стаття 298</w:t>
      </w:r>
      <w:r w:rsidRPr="00427E00">
        <w:rPr>
          <w:sz w:val="28"/>
          <w:vertAlign w:val="superscript"/>
        </w:rPr>
        <w:t>4</w:t>
      </w:r>
      <w:r w:rsidRPr="00427E00">
        <w:rPr>
          <w:sz w:val="28"/>
        </w:rPr>
        <w:t>. Особливості повідомлення про підозру</w:t>
      </w:r>
    </w:p>
    <w:p w14:paraId="169C3BB2" w14:textId="77777777" w:rsidR="00427E00" w:rsidRPr="00427E00" w:rsidRDefault="00427E00" w:rsidP="00427E00">
      <w:pPr>
        <w:pStyle w:val="StyleZakonu"/>
        <w:spacing w:after="0" w:line="240" w:lineRule="auto"/>
        <w:ind w:firstLine="720"/>
        <w:rPr>
          <w:sz w:val="28"/>
        </w:rPr>
      </w:pPr>
      <w:r w:rsidRPr="00427E00">
        <w:rPr>
          <w:sz w:val="28"/>
        </w:rPr>
        <w:t xml:space="preserve">2. Одночасно із врученням повідомлення про підозру особа інформується про результати медичного освідування та висновку спеціаліста за їх наявності. </w:t>
      </w:r>
      <w:r w:rsidRPr="00552CFC">
        <w:rPr>
          <w:b/>
          <w:bCs/>
          <w:sz w:val="28"/>
        </w:rPr>
        <w:t xml:space="preserve">У разі незгоди з результатами медичного освідування або висновком спеціаліста особа протягом сорока восьми годин має право </w:t>
      </w:r>
      <w:r w:rsidRPr="00552CFC">
        <w:rPr>
          <w:b/>
          <w:bCs/>
          <w:sz w:val="28"/>
        </w:rPr>
        <w:lastRenderedPageBreak/>
        <w:t xml:space="preserve">звернутися до дізнавача або прокурора з клопотанням про проведення </w:t>
      </w:r>
      <w:r w:rsidRPr="00552CFC">
        <w:rPr>
          <w:b/>
          <w:bCs/>
          <w:sz w:val="28"/>
          <w:highlight w:val="yellow"/>
        </w:rPr>
        <w:t>експерт</w:t>
      </w:r>
      <w:r w:rsidRPr="00552CFC">
        <w:rPr>
          <w:b/>
          <w:bCs/>
          <w:sz w:val="28"/>
        </w:rPr>
        <w:t xml:space="preserve">изи. </w:t>
      </w:r>
      <w:r w:rsidRPr="00427E00">
        <w:rPr>
          <w:sz w:val="28"/>
        </w:rPr>
        <w:t>У такому разі дізнавач або прокурор має право звернутися до експерта для проведення експертизи із дотриманням правил, передбачених цим Кодексом.</w:t>
      </w:r>
    </w:p>
    <w:p w14:paraId="02AAE459" w14:textId="77777777" w:rsidR="00427E00" w:rsidRPr="00427E00" w:rsidRDefault="00427E00" w:rsidP="00427E00">
      <w:pPr>
        <w:pStyle w:val="StyleZakonu"/>
        <w:spacing w:after="0" w:line="240" w:lineRule="auto"/>
        <w:ind w:firstLine="720"/>
        <w:rPr>
          <w:sz w:val="28"/>
        </w:rPr>
      </w:pPr>
      <w:r w:rsidRPr="00427E00">
        <w:rPr>
          <w:sz w:val="28"/>
        </w:rPr>
        <w:t>У разі якщо протягом встановленого строку особа не звернеться з клопотанням про проведення експертизи, відповідне клопотання може бути заявлено лише під час судового розгляду.</w:t>
      </w:r>
    </w:p>
    <w:p w14:paraId="11B68E40" w14:textId="77777777" w:rsidR="00427E00" w:rsidRPr="00427E00" w:rsidRDefault="00427E00" w:rsidP="00427E00">
      <w:pPr>
        <w:pStyle w:val="StyleZakonu"/>
        <w:spacing w:after="0" w:line="240" w:lineRule="auto"/>
        <w:ind w:firstLine="720"/>
        <w:rPr>
          <w:sz w:val="28"/>
        </w:rPr>
      </w:pPr>
      <w:r w:rsidRPr="00427E00">
        <w:rPr>
          <w:sz w:val="28"/>
        </w:rPr>
        <w:t>абзаци другий і третій підпункту 29 викласти в такій редакції:</w:t>
      </w:r>
    </w:p>
    <w:p w14:paraId="237BF209" w14:textId="77777777" w:rsidR="00427E00" w:rsidRPr="00427E00" w:rsidRDefault="00427E00" w:rsidP="00427E00">
      <w:pPr>
        <w:pStyle w:val="StyleZakonu"/>
        <w:spacing w:after="0" w:line="240" w:lineRule="auto"/>
        <w:ind w:firstLine="720"/>
        <w:rPr>
          <w:sz w:val="28"/>
        </w:rPr>
      </w:pPr>
      <w:r w:rsidRPr="00427E00">
        <w:rPr>
          <w:sz w:val="28"/>
        </w:rPr>
        <w:t>«Стаття 300. Слідчі (розшукові) дії, негласні слідчі (розшукові) дії та інші дії під час досудового розслідування кримінальних проступків</w:t>
      </w:r>
    </w:p>
    <w:p w14:paraId="6501135E" w14:textId="77777777" w:rsidR="00427E00" w:rsidRPr="00427E00" w:rsidRDefault="00427E00" w:rsidP="00427E00">
      <w:pPr>
        <w:pStyle w:val="StyleZakonu"/>
        <w:spacing w:after="0" w:line="240" w:lineRule="auto"/>
        <w:ind w:firstLine="720"/>
        <w:rPr>
          <w:sz w:val="28"/>
        </w:rPr>
      </w:pPr>
      <w:r w:rsidRPr="00427E00">
        <w:rPr>
          <w:sz w:val="28"/>
        </w:rPr>
        <w:t xml:space="preserve">1. Для досудового розслідування кримінальних проступків дозволяється виконувати всі слідчі (розшукові) дії, передбачені цим Кодексом, та негласні слідчі (розшукові) дії, передбачені частиною другою статті 264 та статтею 268 цього Кодексу, а також відбирати пояснення для з’ясування обставин вчинення кримінального проступку, проводити медичне освідування, </w:t>
      </w:r>
      <w:r w:rsidRPr="00262C0A">
        <w:rPr>
          <w:b/>
          <w:bCs/>
          <w:sz w:val="28"/>
        </w:rPr>
        <w:t xml:space="preserve">отримувати висновок спеціаліста, що має відповідати вимогам до висновку </w:t>
      </w:r>
      <w:r w:rsidRPr="00262C0A">
        <w:rPr>
          <w:b/>
          <w:bCs/>
          <w:sz w:val="28"/>
          <w:highlight w:val="yellow"/>
        </w:rPr>
        <w:t>експерт</w:t>
      </w:r>
      <w:r w:rsidRPr="00262C0A">
        <w:rPr>
          <w:b/>
          <w:bCs/>
          <w:sz w:val="28"/>
        </w:rPr>
        <w:t>а</w:t>
      </w:r>
      <w:r w:rsidRPr="00427E00">
        <w:rPr>
          <w:sz w:val="28"/>
        </w:rPr>
        <w:t>, знімати за згодою показання технічних приладів і технічних засобів у провадженнях щодо вчинення кримінальних проступків, що мають функції фото- і кінозйомки, відеозапису, чи засобів фото- і кінозйомки, відеозапису, вилучати знаряддя і засоби вчинення кримінального проступку, речі і документи, що є безпосереднім предметом кримінального проступку або виявлені під час затримання особи, особистого огляду або огляду речей, до внесення відомостей про кримінальний проступок до Єдиного реєстру досудових розслідувань»;</w:t>
      </w:r>
    </w:p>
    <w:p w14:paraId="1266AE79" w14:textId="77777777" w:rsidR="00552CFC" w:rsidRDefault="00552CFC" w:rsidP="00552CFC">
      <w:pPr>
        <w:pStyle w:val="StyleZakonu"/>
        <w:spacing w:after="0" w:line="240" w:lineRule="auto"/>
        <w:ind w:firstLine="720"/>
        <w:jc w:val="left"/>
        <w:rPr>
          <w:b/>
          <w:bCs/>
          <w:sz w:val="28"/>
        </w:rPr>
      </w:pPr>
    </w:p>
    <w:p w14:paraId="4024E7FB" w14:textId="1BD696DF" w:rsidR="00427E00" w:rsidRPr="00262C0A" w:rsidRDefault="00427E00" w:rsidP="00552CFC">
      <w:pPr>
        <w:pStyle w:val="StyleZakonu"/>
        <w:spacing w:after="0" w:line="240" w:lineRule="auto"/>
        <w:ind w:firstLine="720"/>
        <w:jc w:val="left"/>
        <w:rPr>
          <w:b/>
          <w:bCs/>
          <w:sz w:val="28"/>
          <w:szCs w:val="28"/>
        </w:rPr>
      </w:pPr>
      <w:r w:rsidRPr="00262C0A">
        <w:rPr>
          <w:b/>
          <w:bCs/>
          <w:sz w:val="28"/>
        </w:rPr>
        <w:t xml:space="preserve">ІІ. Цей Закон набирає чинності з дня набрання чинності Законом України «Про внесення змін до деяких законодавчих актів України щодо спрощення </w:t>
      </w:r>
      <w:r w:rsidRPr="00262C0A">
        <w:rPr>
          <w:b/>
          <w:bCs/>
          <w:sz w:val="28"/>
          <w:szCs w:val="28"/>
        </w:rPr>
        <w:t>досудового розслідування окремих категорій кримінальних правопорушень» від 22 листопада 2018 року № 2617-VIII</w:t>
      </w:r>
      <w:r w:rsidR="00262C0A" w:rsidRPr="00262C0A">
        <w:rPr>
          <w:b/>
          <w:bCs/>
          <w:sz w:val="28"/>
          <w:szCs w:val="28"/>
        </w:rPr>
        <w:t xml:space="preserve">, який набрав чинності з 01 липня 2020 року. – </w:t>
      </w:r>
      <w:r w:rsidR="00262C0A" w:rsidRPr="00262C0A">
        <w:rPr>
          <w:b/>
          <w:bCs/>
          <w:sz w:val="28"/>
          <w:szCs w:val="28"/>
          <w:lang w:val="en-US"/>
        </w:rPr>
        <w:t>URL</w:t>
      </w:r>
      <w:r w:rsidR="00262C0A" w:rsidRPr="00262C0A">
        <w:rPr>
          <w:b/>
          <w:bCs/>
          <w:sz w:val="28"/>
          <w:szCs w:val="28"/>
        </w:rPr>
        <w:t xml:space="preserve">: </w:t>
      </w:r>
      <w:hyperlink r:id="rId7" w:anchor="Text" w:history="1">
        <w:r w:rsidR="00262C0A" w:rsidRPr="00262C0A">
          <w:rPr>
            <w:rStyle w:val="af1"/>
            <w:sz w:val="28"/>
            <w:szCs w:val="28"/>
          </w:rPr>
          <w:t>https://zakon.rada.gov.ua/laws/show/2617-19#Text</w:t>
        </w:r>
      </w:hyperlink>
    </w:p>
    <w:p w14:paraId="62E45C2D" w14:textId="2EE56987" w:rsidR="00595064" w:rsidRDefault="00595064" w:rsidP="00427E00">
      <w:pPr>
        <w:ind w:firstLine="720"/>
        <w:jc w:val="both"/>
        <w:rPr>
          <w:b/>
          <w:bCs/>
          <w:sz w:val="28"/>
          <w:szCs w:val="28"/>
        </w:rPr>
      </w:pPr>
    </w:p>
    <w:p w14:paraId="5031A723" w14:textId="77777777" w:rsidR="00831AFE" w:rsidRPr="00831AFE" w:rsidRDefault="00831AFE" w:rsidP="00831AFE">
      <w:pPr>
        <w:ind w:firstLine="720"/>
        <w:jc w:val="both"/>
        <w:rPr>
          <w:b/>
          <w:bCs/>
          <w:color w:val="FF0000"/>
          <w:sz w:val="28"/>
          <w:szCs w:val="28"/>
        </w:rPr>
      </w:pPr>
      <w:r w:rsidRPr="00831AFE">
        <w:rPr>
          <w:b/>
          <w:bCs/>
          <w:color w:val="FF0000"/>
          <w:sz w:val="28"/>
          <w:szCs w:val="28"/>
        </w:rPr>
        <w:t>3. У Кримінальному процесуальному кодексі України (Відомості Верховної Ради України, 2013 р., №№ 9-13, ст. 88):</w:t>
      </w:r>
    </w:p>
    <w:p w14:paraId="0374E8B0" w14:textId="77777777" w:rsidR="00831AFE" w:rsidRPr="00831AFE" w:rsidRDefault="00831AFE" w:rsidP="00831AFE">
      <w:pPr>
        <w:ind w:firstLine="720"/>
        <w:jc w:val="both"/>
        <w:rPr>
          <w:sz w:val="28"/>
          <w:szCs w:val="28"/>
        </w:rPr>
      </w:pPr>
    </w:p>
    <w:p w14:paraId="370F54E5" w14:textId="77777777" w:rsidR="00831AFE" w:rsidRPr="00831AFE" w:rsidRDefault="00831AFE" w:rsidP="00831AFE">
      <w:pPr>
        <w:ind w:firstLine="720"/>
        <w:jc w:val="both"/>
        <w:rPr>
          <w:sz w:val="28"/>
          <w:szCs w:val="28"/>
        </w:rPr>
      </w:pPr>
      <w:r w:rsidRPr="00831AFE">
        <w:rPr>
          <w:sz w:val="28"/>
          <w:szCs w:val="28"/>
        </w:rPr>
        <w:t>17) у статті 214:</w:t>
      </w:r>
    </w:p>
    <w:p w14:paraId="6238AE6E" w14:textId="77777777" w:rsidR="00831AFE" w:rsidRPr="00831AFE" w:rsidRDefault="00831AFE" w:rsidP="00831AFE">
      <w:pPr>
        <w:ind w:firstLine="720"/>
        <w:jc w:val="both"/>
        <w:rPr>
          <w:sz w:val="28"/>
          <w:szCs w:val="28"/>
        </w:rPr>
      </w:pPr>
    </w:p>
    <w:p w14:paraId="3388989D" w14:textId="77777777" w:rsidR="00831AFE" w:rsidRPr="00831AFE" w:rsidRDefault="00831AFE" w:rsidP="00831AFE">
      <w:pPr>
        <w:ind w:firstLine="720"/>
        <w:jc w:val="both"/>
        <w:rPr>
          <w:sz w:val="28"/>
          <w:szCs w:val="28"/>
        </w:rPr>
      </w:pPr>
      <w:r w:rsidRPr="00831AFE">
        <w:rPr>
          <w:sz w:val="28"/>
          <w:szCs w:val="28"/>
        </w:rPr>
        <w:t>частину третю викласти в такій редакції:</w:t>
      </w:r>
    </w:p>
    <w:p w14:paraId="1A539308" w14:textId="77777777" w:rsidR="00831AFE" w:rsidRPr="00831AFE" w:rsidRDefault="00831AFE" w:rsidP="00831AFE">
      <w:pPr>
        <w:ind w:firstLine="720"/>
        <w:jc w:val="both"/>
        <w:rPr>
          <w:sz w:val="28"/>
          <w:szCs w:val="28"/>
        </w:rPr>
      </w:pPr>
    </w:p>
    <w:p w14:paraId="133C6523" w14:textId="77777777" w:rsidR="00831AFE" w:rsidRPr="00831AFE" w:rsidRDefault="00831AFE" w:rsidP="00831AFE">
      <w:pPr>
        <w:ind w:firstLine="720"/>
        <w:jc w:val="both"/>
        <w:rPr>
          <w:b/>
          <w:bCs/>
          <w:i/>
          <w:iCs/>
          <w:sz w:val="28"/>
          <w:szCs w:val="28"/>
        </w:rPr>
      </w:pPr>
      <w:r w:rsidRPr="00831AFE">
        <w:rPr>
          <w:sz w:val="28"/>
          <w:szCs w:val="28"/>
        </w:rPr>
        <w:t xml:space="preserve">"3. 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У невідкладних випадках до внесення відомостей до Єдиного реєстру досудових </w:t>
      </w:r>
      <w:r w:rsidRPr="00831AFE">
        <w:rPr>
          <w:sz w:val="28"/>
          <w:szCs w:val="28"/>
        </w:rPr>
        <w:lastRenderedPageBreak/>
        <w:t xml:space="preserve">розслідувань може бути проведений огляд місця події (відомості вносяться невідкладно після завершення огляду). </w:t>
      </w:r>
      <w:r w:rsidRPr="00831AFE">
        <w:rPr>
          <w:b/>
          <w:bCs/>
          <w:i/>
          <w:iCs/>
          <w:sz w:val="28"/>
          <w:szCs w:val="28"/>
        </w:rPr>
        <w:t>Для з’ясування обставин вчинення кримінального проступку до внесення відомостей до Єдиного реєстру досудових розслідувань може бути:</w:t>
      </w:r>
    </w:p>
    <w:p w14:paraId="0F00B148" w14:textId="77777777" w:rsidR="00831AFE" w:rsidRPr="00831AFE" w:rsidRDefault="00831AFE" w:rsidP="00831AFE">
      <w:pPr>
        <w:ind w:firstLine="720"/>
        <w:jc w:val="both"/>
        <w:rPr>
          <w:sz w:val="28"/>
          <w:szCs w:val="28"/>
        </w:rPr>
      </w:pPr>
    </w:p>
    <w:p w14:paraId="320E1FE2" w14:textId="289DC829" w:rsidR="00831AFE" w:rsidRPr="00831AFE" w:rsidRDefault="00831AFE" w:rsidP="00831AFE">
      <w:pPr>
        <w:ind w:firstLine="720"/>
        <w:jc w:val="both"/>
        <w:rPr>
          <w:sz w:val="28"/>
          <w:szCs w:val="28"/>
        </w:rPr>
      </w:pPr>
      <w:r w:rsidRPr="00831AFE">
        <w:rPr>
          <w:b/>
          <w:bCs/>
          <w:sz w:val="28"/>
          <w:szCs w:val="28"/>
          <w:u w:val="single"/>
        </w:rPr>
        <w:t>3) отримано висновок спеціаліста</w:t>
      </w:r>
      <w:r w:rsidRPr="00831AFE">
        <w:rPr>
          <w:sz w:val="28"/>
          <w:szCs w:val="28"/>
        </w:rPr>
        <w:t xml:space="preserve"> і знято показання технічних приладів та технічних засобів, що мають функції фото- і кінозйомки, відеозапису, чи засобів фото- і кінозйомки, відеозапису;</w:t>
      </w:r>
    </w:p>
    <w:sectPr w:rsidR="00831AFE" w:rsidRPr="00831AFE" w:rsidSect="00427E00">
      <w:footerReference w:type="even" r:id="rId8"/>
      <w:footerReference w:type="default" r:id="rId9"/>
      <w:pgSz w:w="11907" w:h="16840" w:code="9"/>
      <w:pgMar w:top="1440" w:right="864" w:bottom="1440" w:left="1699" w:header="56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E174C" w14:textId="77777777" w:rsidR="00A21A45" w:rsidRDefault="00A21A45">
      <w:r>
        <w:separator/>
      </w:r>
    </w:p>
  </w:endnote>
  <w:endnote w:type="continuationSeparator" w:id="0">
    <w:p w14:paraId="6BE3B55B" w14:textId="77777777" w:rsidR="00A21A45" w:rsidRDefault="00A2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ntiqua">
    <w:altName w:val="Century Gothic"/>
    <w:panose1 w:val="00000000000000000000"/>
    <w:charset w:val="00"/>
    <w:family w:val="roman"/>
    <w:notTrueType/>
    <w:pitch w:val="default"/>
    <w:sig w:usb0="00000003" w:usb1="00000000" w:usb2="00000000" w:usb3="00000000" w:csb0="00000001" w:csb1="00000000"/>
  </w:font>
  <w:font w:name="Raavi">
    <w:panose1 w:val="02000500000000000000"/>
    <w:charset w:val="01"/>
    <w:family w:val="roman"/>
    <w:pitch w:val="variable"/>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434AE" w14:textId="77777777" w:rsidR="000B1F79" w:rsidRDefault="000B1F79" w:rsidP="000B1F79">
    <w:pPr>
      <w:pStyle w:val="a7"/>
      <w:framePr w:wrap="around" w:vAnchor="text" w:hAnchor="margin" w:xAlign="center" w:y="1"/>
      <w:rPr>
        <w:rStyle w:val="ad"/>
      </w:rPr>
    </w:pPr>
    <w:r>
      <w:rPr>
        <w:rStyle w:val="ad"/>
      </w:rPr>
      <w:fldChar w:fldCharType="begin"/>
    </w:r>
    <w:r>
      <w:rPr>
        <w:rStyle w:val="ad"/>
      </w:rPr>
      <w:instrText xml:space="preserve"> PAGE </w:instrText>
    </w:r>
    <w:r>
      <w:rPr>
        <w:rStyle w:val="ad"/>
      </w:rPr>
      <w:fldChar w:fldCharType="end"/>
    </w:r>
  </w:p>
  <w:p w14:paraId="0C55BFD2" w14:textId="77777777" w:rsidR="000B1F79" w:rsidRDefault="000B1F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263B" w14:textId="77777777" w:rsidR="000B1F79" w:rsidRDefault="000B1F79" w:rsidP="000B1F79">
    <w:pPr>
      <w:pStyle w:val="a7"/>
      <w:framePr w:wrap="around" w:vAnchor="text" w:hAnchor="margin" w:xAlign="center" w:y="1"/>
      <w:rPr>
        <w:rStyle w:val="ad"/>
      </w:rPr>
    </w:pPr>
    <w:r>
      <w:rPr>
        <w:rStyle w:val="ad"/>
      </w:rPr>
      <w:t xml:space="preserve">- </w:t>
    </w:r>
    <w:r>
      <w:rPr>
        <w:rStyle w:val="ad"/>
      </w:rPr>
      <w:fldChar w:fldCharType="begin"/>
    </w:r>
    <w:r>
      <w:rPr>
        <w:rStyle w:val="ad"/>
      </w:rPr>
      <w:instrText xml:space="preserve"> PAGE </w:instrText>
    </w:r>
    <w:r>
      <w:rPr>
        <w:rStyle w:val="ad"/>
      </w:rPr>
      <w:fldChar w:fldCharType="separate"/>
    </w:r>
    <w:r w:rsidR="00114574">
      <w:rPr>
        <w:rStyle w:val="ad"/>
        <w:noProof/>
      </w:rPr>
      <w:t>31</w:t>
    </w:r>
    <w:r>
      <w:rPr>
        <w:rStyle w:val="ad"/>
      </w:rPr>
      <w:fldChar w:fldCharType="end"/>
    </w:r>
    <w:r>
      <w:rPr>
        <w:rStyle w:val="ad"/>
      </w:rPr>
      <w:t xml:space="preserve"> -</w:t>
    </w:r>
  </w:p>
  <w:p w14:paraId="12536A39" w14:textId="77777777" w:rsidR="000B1F79" w:rsidRDefault="000B1F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0C59E" w14:textId="77777777" w:rsidR="00A21A45" w:rsidRDefault="00A21A45">
      <w:r>
        <w:separator/>
      </w:r>
    </w:p>
  </w:footnote>
  <w:footnote w:type="continuationSeparator" w:id="0">
    <w:p w14:paraId="172BBD3E" w14:textId="77777777" w:rsidR="00A21A45" w:rsidRDefault="00A2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7984542"/>
    <w:lvl w:ilvl="0">
      <w:start w:val="1"/>
      <w:numFmt w:val="decimal"/>
      <w:pStyle w:val="a"/>
      <w:lvlText w:val="%1."/>
      <w:lvlJc w:val="left"/>
      <w:pPr>
        <w:tabs>
          <w:tab w:val="num" w:pos="360"/>
        </w:tabs>
        <w:ind w:left="360" w:hanging="360"/>
      </w:pPr>
    </w:lvl>
  </w:abstractNum>
  <w:abstractNum w:abstractNumId="1" w15:restartNumberingAfterBreak="0">
    <w:nsid w:val="0666254D"/>
    <w:multiLevelType w:val="multilevel"/>
    <w:tmpl w:val="1E4A575A"/>
    <w:lvl w:ilvl="0">
      <w:start w:val="1"/>
      <w:numFmt w:val="upperRoman"/>
      <w:lvlText w:val="Розділ %1"/>
      <w:lvlJc w:val="left"/>
      <w:pPr>
        <w:tabs>
          <w:tab w:val="num" w:pos="1440"/>
        </w:tabs>
      </w:pPr>
      <w:rPr>
        <w:rFonts w:ascii="Times New Roman" w:hAnsi="Times New Roman" w:cs="Times New Roman" w:hint="default"/>
        <w:b/>
        <w:bCs/>
        <w:i w:val="0"/>
        <w:iCs w:val="0"/>
        <w:sz w:val="28"/>
        <w:szCs w:val="28"/>
      </w:rPr>
    </w:lvl>
    <w:lvl w:ilvl="1">
      <w:start w:val="1"/>
      <w:numFmt w:val="none"/>
      <w:isLgl/>
      <w:lvlText w:val="Стаття 1."/>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00510F0"/>
    <w:multiLevelType w:val="multilevel"/>
    <w:tmpl w:val="04AC873A"/>
    <w:lvl w:ilvl="0">
      <w:start w:val="1"/>
      <w:numFmt w:val="decimal"/>
      <w:lvlText w:val="%1)"/>
      <w:lvlJc w:val="left"/>
      <w:pPr>
        <w:ind w:left="0" w:firstLine="85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F26EBB"/>
    <w:multiLevelType w:val="multilevel"/>
    <w:tmpl w:val="AA10C7F0"/>
    <w:lvl w:ilvl="0">
      <w:start w:val="1"/>
      <w:numFmt w:val="decimal"/>
      <w:lvlText w:val="%1)"/>
      <w:lvlJc w:val="left"/>
      <w:pPr>
        <w:ind w:left="0" w:firstLine="85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16800D9"/>
    <w:multiLevelType w:val="multilevel"/>
    <w:tmpl w:val="85AC80B6"/>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B05536"/>
    <w:multiLevelType w:val="hybridMultilevel"/>
    <w:tmpl w:val="44F27D26"/>
    <w:lvl w:ilvl="0" w:tplc="77740D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3D218DF"/>
    <w:multiLevelType w:val="multilevel"/>
    <w:tmpl w:val="DA5ED270"/>
    <w:lvl w:ilvl="0">
      <w:start w:val="1"/>
      <w:numFmt w:val="decimal"/>
      <w:lvlText w:val="%1."/>
      <w:lvlJc w:val="left"/>
      <w:pPr>
        <w:tabs>
          <w:tab w:val="num" w:pos="1680"/>
        </w:tabs>
        <w:ind w:left="168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8C3D17"/>
    <w:multiLevelType w:val="multilevel"/>
    <w:tmpl w:val="BA54985A"/>
    <w:lvl w:ilvl="0">
      <w:start w:val="1"/>
      <w:numFmt w:val="decimal"/>
      <w:lvlText w:val="Стаття %1."/>
      <w:lvlJc w:val="left"/>
      <w:pPr>
        <w:tabs>
          <w:tab w:val="num" w:pos="2211"/>
        </w:tabs>
        <w:ind w:left="2211" w:hanging="1491"/>
      </w:pPr>
      <w:rPr>
        <w:b/>
        <w:bCs/>
        <w:i w:val="0"/>
        <w:iCs w:val="0"/>
        <w:kern w:val="0"/>
        <w:sz w:val="28"/>
        <w:szCs w:val="28"/>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00"/>
    <w:rsid w:val="000268D9"/>
    <w:rsid w:val="000B1F79"/>
    <w:rsid w:val="000C1B55"/>
    <w:rsid w:val="000E52CE"/>
    <w:rsid w:val="00114574"/>
    <w:rsid w:val="00127AE4"/>
    <w:rsid w:val="001C5340"/>
    <w:rsid w:val="001E3226"/>
    <w:rsid w:val="002252DF"/>
    <w:rsid w:val="00237858"/>
    <w:rsid w:val="0026095E"/>
    <w:rsid w:val="00262C0A"/>
    <w:rsid w:val="002641E0"/>
    <w:rsid w:val="002A4711"/>
    <w:rsid w:val="00315D1B"/>
    <w:rsid w:val="003320AE"/>
    <w:rsid w:val="0034740D"/>
    <w:rsid w:val="00385232"/>
    <w:rsid w:val="003932D0"/>
    <w:rsid w:val="00427E00"/>
    <w:rsid w:val="004310BA"/>
    <w:rsid w:val="004E34A2"/>
    <w:rsid w:val="004E5696"/>
    <w:rsid w:val="004F45D4"/>
    <w:rsid w:val="00552CFC"/>
    <w:rsid w:val="005721F5"/>
    <w:rsid w:val="0057562B"/>
    <w:rsid w:val="00595064"/>
    <w:rsid w:val="005F47FB"/>
    <w:rsid w:val="006216C3"/>
    <w:rsid w:val="006254A9"/>
    <w:rsid w:val="00654BEC"/>
    <w:rsid w:val="006C3615"/>
    <w:rsid w:val="006D1D96"/>
    <w:rsid w:val="007B23B8"/>
    <w:rsid w:val="00831AFE"/>
    <w:rsid w:val="0086391C"/>
    <w:rsid w:val="008B4C53"/>
    <w:rsid w:val="008C215C"/>
    <w:rsid w:val="009069A1"/>
    <w:rsid w:val="00A21A45"/>
    <w:rsid w:val="00A64CC1"/>
    <w:rsid w:val="00AE69D8"/>
    <w:rsid w:val="00B845D8"/>
    <w:rsid w:val="00BC7AA8"/>
    <w:rsid w:val="00BD1260"/>
    <w:rsid w:val="00BE68DB"/>
    <w:rsid w:val="00C25AAE"/>
    <w:rsid w:val="00C823BD"/>
    <w:rsid w:val="00D26957"/>
    <w:rsid w:val="00D377FC"/>
    <w:rsid w:val="00D47C0D"/>
    <w:rsid w:val="00DA6574"/>
    <w:rsid w:val="00E02158"/>
    <w:rsid w:val="00E33870"/>
    <w:rsid w:val="00E50DCD"/>
    <w:rsid w:val="00E7376E"/>
    <w:rsid w:val="00ED1BD4"/>
    <w:rsid w:val="00F075C2"/>
    <w:rsid w:val="00F32C7D"/>
    <w:rsid w:val="00FB2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7FA2A"/>
  <w15:chartTrackingRefBased/>
  <w15:docId w15:val="{B54283F6-A463-4275-8573-D5BD731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lang w:eastAsia="ru-RU"/>
    </w:rPr>
  </w:style>
  <w:style w:type="paragraph" w:styleId="1">
    <w:name w:val="heading 1"/>
    <w:basedOn w:val="a0"/>
    <w:next w:val="a0"/>
    <w:link w:val="10"/>
    <w:qFormat/>
    <w:rsid w:val="001E3226"/>
    <w:pPr>
      <w:keepNext/>
      <w:autoSpaceDE w:val="0"/>
      <w:autoSpaceDN w:val="0"/>
      <w:jc w:val="center"/>
      <w:outlineLvl w:val="0"/>
    </w:pPr>
    <w:rPr>
      <w:b/>
      <w:bCs/>
      <w:sz w:val="24"/>
      <w:szCs w:val="24"/>
    </w:rPr>
  </w:style>
  <w:style w:type="paragraph" w:styleId="2">
    <w:name w:val="heading 2"/>
    <w:basedOn w:val="a0"/>
    <w:next w:val="a0"/>
    <w:link w:val="20"/>
    <w:qFormat/>
    <w:rsid w:val="001E3226"/>
    <w:pPr>
      <w:keepNext/>
      <w:autoSpaceDE w:val="0"/>
      <w:autoSpaceDN w:val="0"/>
      <w:jc w:val="center"/>
      <w:outlineLvl w:val="1"/>
    </w:pPr>
    <w:rPr>
      <w:b/>
      <w:bCs/>
      <w:color w:val="FF0000"/>
      <w:sz w:val="24"/>
      <w:szCs w:val="24"/>
    </w:rPr>
  </w:style>
  <w:style w:type="paragraph" w:styleId="3">
    <w:name w:val="heading 3"/>
    <w:basedOn w:val="a0"/>
    <w:next w:val="a0"/>
    <w:link w:val="30"/>
    <w:qFormat/>
    <w:rsid w:val="001E3226"/>
    <w:pPr>
      <w:keepNext/>
      <w:autoSpaceDE w:val="0"/>
      <w:autoSpaceDN w:val="0"/>
      <w:ind w:left="-108"/>
      <w:jc w:val="right"/>
      <w:outlineLvl w:val="2"/>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Awt">
    <w:name w:val="StyleAwt"/>
    <w:basedOn w:val="StyleNormal"/>
    <w:rPr>
      <w:b/>
      <w:i/>
      <w:sz w:val="18"/>
      <w:u w:val="single"/>
    </w:rPr>
  </w:style>
  <w:style w:type="paragraph" w:customStyle="1" w:styleId="StyleFooter">
    <w:name w:val="StyleFooter"/>
    <w:basedOn w:val="StyleNormal"/>
    <w:rPr>
      <w:sz w:val="10"/>
    </w:rPr>
  </w:style>
  <w:style w:type="paragraph" w:customStyle="1" w:styleId="StyleHeader">
    <w:name w:val="StyleHeader"/>
    <w:basedOn w:val="StyleNormal"/>
    <w:rPr>
      <w:sz w:val="12"/>
    </w:rPr>
  </w:style>
  <w:style w:type="paragraph" w:customStyle="1" w:styleId="StyleNormal">
    <w:name w:val="StyleNormal"/>
    <w:pPr>
      <w:spacing w:line="220" w:lineRule="exact"/>
    </w:pPr>
    <w:rPr>
      <w:lang w:eastAsia="ru-RU"/>
    </w:rPr>
  </w:style>
  <w:style w:type="paragraph" w:customStyle="1" w:styleId="StyleOstRed">
    <w:name w:val="StyleOstRed"/>
    <w:basedOn w:val="StyleNormal"/>
    <w:pPr>
      <w:spacing w:after="120" w:line="240" w:lineRule="auto"/>
      <w:ind w:firstLine="720"/>
      <w:jc w:val="both"/>
    </w:pPr>
    <w:rPr>
      <w:sz w:val="28"/>
    </w:rPr>
  </w:style>
  <w:style w:type="paragraph" w:customStyle="1" w:styleId="StyleProp">
    <w:name w:val="StyleProp"/>
    <w:basedOn w:val="StyleNormal"/>
    <w:pPr>
      <w:spacing w:line="200" w:lineRule="exact"/>
      <w:ind w:firstLine="227"/>
      <w:jc w:val="both"/>
    </w:pPr>
    <w:rPr>
      <w:sz w:val="18"/>
    </w:rPr>
  </w:style>
  <w:style w:type="paragraph" w:customStyle="1" w:styleId="StyleShap">
    <w:name w:val="StyleShap"/>
    <w:basedOn w:val="StyleNormal"/>
    <w:pPr>
      <w:spacing w:line="180" w:lineRule="exact"/>
      <w:jc w:val="center"/>
    </w:pPr>
    <w:rPr>
      <w:sz w:val="16"/>
    </w:rPr>
  </w:style>
  <w:style w:type="paragraph" w:customStyle="1" w:styleId="StyleZakonu">
    <w:name w:val="StyleZakonu"/>
    <w:basedOn w:val="StyleNormal"/>
    <w:pPr>
      <w:spacing w:after="60"/>
      <w:ind w:firstLine="284"/>
      <w:jc w:val="both"/>
    </w:pPr>
  </w:style>
  <w:style w:type="paragraph" w:styleId="31">
    <w:name w:val="Body Text 3"/>
    <w:basedOn w:val="a0"/>
    <w:link w:val="32"/>
    <w:rsid w:val="001E3226"/>
    <w:pPr>
      <w:autoSpaceDE w:val="0"/>
      <w:autoSpaceDN w:val="0"/>
      <w:jc w:val="both"/>
    </w:pPr>
    <w:rPr>
      <w:color w:val="FF0000"/>
      <w:sz w:val="24"/>
      <w:szCs w:val="24"/>
    </w:rPr>
  </w:style>
  <w:style w:type="paragraph" w:customStyle="1" w:styleId="StyleProp2">
    <w:name w:val="StyleProp2"/>
    <w:basedOn w:val="StyleNormal"/>
    <w:pPr>
      <w:spacing w:after="120" w:line="200" w:lineRule="exact"/>
      <w:ind w:firstLine="227"/>
      <w:jc w:val="both"/>
    </w:pPr>
    <w:rPr>
      <w:sz w:val="18"/>
    </w:rPr>
  </w:style>
  <w:style w:type="paragraph" w:customStyle="1" w:styleId="StyleWisnow">
    <w:name w:val="StyleWisnow"/>
    <w:basedOn w:val="StyleNormal"/>
    <w:rPr>
      <w:sz w:val="18"/>
    </w:rPr>
  </w:style>
  <w:style w:type="paragraph" w:customStyle="1" w:styleId="StyleStorinka">
    <w:name w:val="StyleStorinka"/>
    <w:basedOn w:val="StyleNormal"/>
    <w:pPr>
      <w:jc w:val="right"/>
    </w:pPr>
    <w:rPr>
      <w:sz w:val="18"/>
    </w:rPr>
  </w:style>
  <w:style w:type="paragraph" w:styleId="a">
    <w:name w:val="List Number"/>
    <w:basedOn w:val="a0"/>
    <w:rsid w:val="001E3226"/>
    <w:pPr>
      <w:numPr>
        <w:numId w:val="1"/>
      </w:numPr>
      <w:tabs>
        <w:tab w:val="clear" w:pos="360"/>
        <w:tab w:val="num" w:pos="1440"/>
      </w:tabs>
      <w:autoSpaceDE w:val="0"/>
      <w:autoSpaceDN w:val="0"/>
      <w:ind w:left="0" w:firstLine="0"/>
    </w:pPr>
    <w:rPr>
      <w:sz w:val="24"/>
      <w:szCs w:val="24"/>
    </w:rPr>
  </w:style>
  <w:style w:type="character" w:customStyle="1" w:styleId="a4">
    <w:name w:val="Печатная машинка"/>
    <w:rsid w:val="001E3226"/>
    <w:rPr>
      <w:rFonts w:ascii="Times New Roman" w:hAnsi="Times New Roman" w:cs="Times New Roman"/>
      <w:color w:val="000000"/>
      <w:sz w:val="28"/>
      <w:szCs w:val="28"/>
    </w:rPr>
  </w:style>
  <w:style w:type="paragraph" w:styleId="33">
    <w:name w:val="Body Text Indent 3"/>
    <w:basedOn w:val="a0"/>
    <w:link w:val="34"/>
    <w:rsid w:val="001E3226"/>
    <w:pPr>
      <w:autoSpaceDE w:val="0"/>
      <w:autoSpaceDN w:val="0"/>
      <w:ind w:firstLine="708"/>
      <w:jc w:val="both"/>
    </w:pPr>
    <w:rPr>
      <w:sz w:val="28"/>
      <w:szCs w:val="28"/>
    </w:rPr>
  </w:style>
  <w:style w:type="paragraph" w:styleId="21">
    <w:name w:val="Body Text 2"/>
    <w:basedOn w:val="a0"/>
    <w:link w:val="22"/>
    <w:rsid w:val="001E3226"/>
    <w:pPr>
      <w:autoSpaceDE w:val="0"/>
      <w:autoSpaceDN w:val="0"/>
      <w:jc w:val="center"/>
    </w:pPr>
    <w:rPr>
      <w:sz w:val="24"/>
      <w:szCs w:val="24"/>
    </w:rPr>
  </w:style>
  <w:style w:type="paragraph" w:styleId="a5">
    <w:name w:val="Body Text"/>
    <w:basedOn w:val="a0"/>
    <w:link w:val="a6"/>
    <w:rsid w:val="001E3226"/>
    <w:pPr>
      <w:autoSpaceDE w:val="0"/>
      <w:autoSpaceDN w:val="0"/>
      <w:jc w:val="center"/>
    </w:pPr>
    <w:rPr>
      <w:b/>
      <w:bCs/>
      <w:color w:val="FF0000"/>
      <w:sz w:val="28"/>
      <w:szCs w:val="28"/>
    </w:rPr>
  </w:style>
  <w:style w:type="paragraph" w:styleId="HTML">
    <w:name w:val="HTML Preformatted"/>
    <w:basedOn w:val="a0"/>
    <w:link w:val="HTML0"/>
    <w:rsid w:val="001E3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 w:val="21"/>
      <w:szCs w:val="21"/>
      <w:lang w:val="ru-RU"/>
    </w:rPr>
  </w:style>
  <w:style w:type="paragraph" w:styleId="a7">
    <w:name w:val="footer"/>
    <w:basedOn w:val="a0"/>
    <w:link w:val="a8"/>
    <w:rsid w:val="001E3226"/>
    <w:pPr>
      <w:tabs>
        <w:tab w:val="center" w:pos="4153"/>
        <w:tab w:val="right" w:pos="8306"/>
      </w:tabs>
      <w:autoSpaceDE w:val="0"/>
      <w:autoSpaceDN w:val="0"/>
    </w:pPr>
    <w:rPr>
      <w:sz w:val="24"/>
      <w:szCs w:val="24"/>
      <w:lang w:val="ru-RU"/>
    </w:rPr>
  </w:style>
  <w:style w:type="paragraph" w:styleId="23">
    <w:name w:val="Body Text Indent 2"/>
    <w:basedOn w:val="a0"/>
    <w:link w:val="24"/>
    <w:rsid w:val="001E3226"/>
    <w:pPr>
      <w:autoSpaceDE w:val="0"/>
      <w:autoSpaceDN w:val="0"/>
      <w:ind w:firstLine="720"/>
      <w:jc w:val="both"/>
    </w:pPr>
    <w:rPr>
      <w:b/>
      <w:bCs/>
      <w:sz w:val="28"/>
      <w:szCs w:val="28"/>
    </w:rPr>
  </w:style>
  <w:style w:type="paragraph" w:styleId="a9">
    <w:name w:val="header"/>
    <w:basedOn w:val="a0"/>
    <w:link w:val="aa"/>
    <w:rsid w:val="001E3226"/>
    <w:pPr>
      <w:tabs>
        <w:tab w:val="center" w:pos="4819"/>
        <w:tab w:val="right" w:pos="9639"/>
      </w:tabs>
    </w:pPr>
  </w:style>
  <w:style w:type="character" w:customStyle="1" w:styleId="10">
    <w:name w:val="Заголовок 1 Знак"/>
    <w:link w:val="1"/>
    <w:rsid w:val="00427E00"/>
    <w:rPr>
      <w:b/>
      <w:bCs/>
      <w:sz w:val="24"/>
      <w:szCs w:val="24"/>
      <w:lang w:eastAsia="ru-RU"/>
    </w:rPr>
  </w:style>
  <w:style w:type="character" w:customStyle="1" w:styleId="20">
    <w:name w:val="Заголовок 2 Знак"/>
    <w:link w:val="2"/>
    <w:rsid w:val="00427E00"/>
    <w:rPr>
      <w:b/>
      <w:bCs/>
      <w:color w:val="FF0000"/>
      <w:sz w:val="24"/>
      <w:szCs w:val="24"/>
      <w:lang w:eastAsia="ru-RU"/>
    </w:rPr>
  </w:style>
  <w:style w:type="character" w:customStyle="1" w:styleId="30">
    <w:name w:val="Заголовок 3 Знак"/>
    <w:link w:val="3"/>
    <w:rsid w:val="00427E00"/>
    <w:rPr>
      <w:b/>
      <w:bCs/>
      <w:sz w:val="24"/>
      <w:szCs w:val="24"/>
      <w:lang w:eastAsia="ru-RU"/>
    </w:rPr>
  </w:style>
  <w:style w:type="character" w:customStyle="1" w:styleId="32">
    <w:name w:val="Основной текст 3 Знак"/>
    <w:link w:val="31"/>
    <w:rsid w:val="00427E00"/>
    <w:rPr>
      <w:color w:val="FF0000"/>
      <w:sz w:val="24"/>
      <w:szCs w:val="24"/>
      <w:lang w:eastAsia="ru-RU"/>
    </w:rPr>
  </w:style>
  <w:style w:type="character" w:customStyle="1" w:styleId="34">
    <w:name w:val="Основной текст с отступом 3 Знак"/>
    <w:link w:val="33"/>
    <w:rsid w:val="00427E00"/>
    <w:rPr>
      <w:sz w:val="28"/>
      <w:szCs w:val="28"/>
      <w:lang w:eastAsia="ru-RU"/>
    </w:rPr>
  </w:style>
  <w:style w:type="character" w:customStyle="1" w:styleId="22">
    <w:name w:val="Основной текст 2 Знак"/>
    <w:link w:val="21"/>
    <w:rsid w:val="00427E00"/>
    <w:rPr>
      <w:sz w:val="24"/>
      <w:szCs w:val="24"/>
      <w:lang w:eastAsia="ru-RU"/>
    </w:rPr>
  </w:style>
  <w:style w:type="character" w:customStyle="1" w:styleId="a6">
    <w:name w:val="Основной текст Знак"/>
    <w:link w:val="a5"/>
    <w:rsid w:val="00427E00"/>
    <w:rPr>
      <w:b/>
      <w:bCs/>
      <w:color w:val="FF0000"/>
      <w:sz w:val="28"/>
      <w:szCs w:val="28"/>
      <w:lang w:eastAsia="ru-RU"/>
    </w:rPr>
  </w:style>
  <w:style w:type="character" w:customStyle="1" w:styleId="HTML0">
    <w:name w:val="Стандартный HTML Знак"/>
    <w:link w:val="HTML"/>
    <w:rsid w:val="00427E00"/>
    <w:rPr>
      <w:color w:val="000000"/>
      <w:sz w:val="21"/>
      <w:szCs w:val="21"/>
      <w:lang w:val="ru-RU" w:eastAsia="ru-RU"/>
    </w:rPr>
  </w:style>
  <w:style w:type="character" w:customStyle="1" w:styleId="a8">
    <w:name w:val="Нижний колонтитул Знак"/>
    <w:link w:val="a7"/>
    <w:rsid w:val="00427E00"/>
    <w:rPr>
      <w:sz w:val="24"/>
      <w:szCs w:val="24"/>
      <w:lang w:val="ru-RU" w:eastAsia="ru-RU"/>
    </w:rPr>
  </w:style>
  <w:style w:type="character" w:customStyle="1" w:styleId="24">
    <w:name w:val="Основной текст с отступом 2 Знак"/>
    <w:link w:val="23"/>
    <w:rsid w:val="00427E00"/>
    <w:rPr>
      <w:b/>
      <w:bCs/>
      <w:sz w:val="28"/>
      <w:szCs w:val="28"/>
      <w:lang w:eastAsia="ru-RU"/>
    </w:rPr>
  </w:style>
  <w:style w:type="character" w:customStyle="1" w:styleId="aa">
    <w:name w:val="Верхний колонтитул Знак"/>
    <w:link w:val="a9"/>
    <w:rsid w:val="00427E00"/>
    <w:rPr>
      <w:lang w:eastAsia="ru-RU"/>
    </w:rPr>
  </w:style>
  <w:style w:type="paragraph" w:customStyle="1" w:styleId="rvps2">
    <w:name w:val="rvps2"/>
    <w:basedOn w:val="a0"/>
    <w:uiPriority w:val="99"/>
    <w:rsid w:val="00427E00"/>
    <w:pPr>
      <w:spacing w:before="100" w:beforeAutospacing="1" w:after="100" w:afterAutospacing="1"/>
    </w:pPr>
    <w:rPr>
      <w:sz w:val="24"/>
      <w:szCs w:val="24"/>
      <w:lang w:eastAsia="uk-UA"/>
    </w:rPr>
  </w:style>
  <w:style w:type="character" w:customStyle="1" w:styleId="rvts9">
    <w:name w:val="rvts9"/>
    <w:uiPriority w:val="99"/>
    <w:rsid w:val="00427E00"/>
  </w:style>
  <w:style w:type="paragraph" w:customStyle="1" w:styleId="ab">
    <w:name w:val="Нормальний текст"/>
    <w:basedOn w:val="a0"/>
    <w:link w:val="ac"/>
    <w:uiPriority w:val="99"/>
    <w:rsid w:val="00427E00"/>
    <w:pPr>
      <w:spacing w:before="120"/>
      <w:ind w:firstLine="567"/>
      <w:jc w:val="both"/>
    </w:pPr>
    <w:rPr>
      <w:rFonts w:ascii="Antiqua" w:hAnsi="Antiqua" w:cs="Raavi"/>
      <w:lang w:val="ru-RU" w:bidi="pa-IN"/>
    </w:rPr>
  </w:style>
  <w:style w:type="character" w:customStyle="1" w:styleId="ac">
    <w:name w:val="Нормальний текст Знак"/>
    <w:link w:val="ab"/>
    <w:uiPriority w:val="99"/>
    <w:locked/>
    <w:rsid w:val="00427E00"/>
    <w:rPr>
      <w:rFonts w:ascii="Antiqua" w:hAnsi="Antiqua" w:cs="Raavi"/>
      <w:lang w:val="ru-RU" w:eastAsia="ru-RU" w:bidi="pa-IN"/>
    </w:rPr>
  </w:style>
  <w:style w:type="paragraph" w:customStyle="1" w:styleId="Default">
    <w:name w:val="Default"/>
    <w:uiPriority w:val="99"/>
    <w:rsid w:val="00427E0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rPr>
  </w:style>
  <w:style w:type="character" w:customStyle="1" w:styleId="rvts44">
    <w:name w:val="rvts44"/>
    <w:uiPriority w:val="99"/>
    <w:rsid w:val="00427E00"/>
  </w:style>
  <w:style w:type="character" w:styleId="ad">
    <w:name w:val="page number"/>
    <w:rsid w:val="00427E00"/>
  </w:style>
  <w:style w:type="paragraph" w:styleId="ae">
    <w:name w:val="List Paragraph"/>
    <w:basedOn w:val="a0"/>
    <w:uiPriority w:val="34"/>
    <w:qFormat/>
    <w:rsid w:val="00427E00"/>
    <w:pPr>
      <w:ind w:left="720"/>
      <w:contextualSpacing/>
    </w:pPr>
    <w:rPr>
      <w:sz w:val="24"/>
      <w:szCs w:val="24"/>
    </w:rPr>
  </w:style>
  <w:style w:type="paragraph" w:styleId="af">
    <w:name w:val="Balloon Text"/>
    <w:basedOn w:val="a0"/>
    <w:link w:val="af0"/>
    <w:uiPriority w:val="99"/>
    <w:unhideWhenUsed/>
    <w:rsid w:val="00427E00"/>
    <w:rPr>
      <w:rFonts w:ascii="Segoe UI" w:hAnsi="Segoe UI" w:cs="Segoe UI"/>
      <w:sz w:val="18"/>
      <w:szCs w:val="18"/>
    </w:rPr>
  </w:style>
  <w:style w:type="character" w:customStyle="1" w:styleId="af0">
    <w:name w:val="Текст выноски Знак"/>
    <w:basedOn w:val="a1"/>
    <w:link w:val="af"/>
    <w:uiPriority w:val="99"/>
    <w:rsid w:val="00427E00"/>
    <w:rPr>
      <w:rFonts w:ascii="Segoe UI" w:hAnsi="Segoe UI" w:cs="Segoe UI"/>
      <w:sz w:val="18"/>
      <w:szCs w:val="18"/>
      <w:lang w:eastAsia="ru-RU"/>
    </w:rPr>
  </w:style>
  <w:style w:type="character" w:customStyle="1" w:styleId="rvts37">
    <w:name w:val="rvts37"/>
    <w:rsid w:val="00427E00"/>
  </w:style>
  <w:style w:type="paragraph" w:customStyle="1" w:styleId="11">
    <w:name w:val="Номер страницы1"/>
    <w:basedOn w:val="a7"/>
    <w:rsid w:val="00427E00"/>
    <w:rPr>
      <w:sz w:val="28"/>
    </w:rPr>
  </w:style>
  <w:style w:type="character" w:styleId="af1">
    <w:name w:val="Hyperlink"/>
    <w:uiPriority w:val="99"/>
    <w:unhideWhenUsed/>
    <w:rsid w:val="00262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617-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zotova\AppData\Roaming\Microsoft\Word\STARTUP\Z97_V41.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Z97_V41.DOT</Template>
  <TotalTime>711</TotalTime>
  <Pages>4</Pages>
  <Words>1088</Words>
  <Characters>6202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Elcom Ltd</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О.П.Дяченко</dc:creator>
  <cp:keywords/>
  <dc:description/>
  <cp:lastModifiedBy>Ukraine</cp:lastModifiedBy>
  <cp:revision>4</cp:revision>
  <cp:lastPrinted>1899-12-31T22:00:00Z</cp:lastPrinted>
  <dcterms:created xsi:type="dcterms:W3CDTF">2020-07-02T20:12:00Z</dcterms:created>
  <dcterms:modified xsi:type="dcterms:W3CDTF">2020-07-03T07:57:00Z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vt:i4>2554988</vt:i4>
  </property>
</Properties>
</file>